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66" w:rsidRDefault="008D7C66" w:rsidP="008D7C66">
      <w:pPr>
        <w:pStyle w:val="cuerpotexto"/>
        <w:spacing w:before="28" w:after="28"/>
        <w:jc w:val="center"/>
        <w:rPr>
          <w:rStyle w:val="Textoennegrita"/>
          <w:rFonts w:eastAsia="Arial Unicode MS"/>
        </w:rPr>
      </w:pPr>
    </w:p>
    <w:p w:rsidR="008D7C66" w:rsidRDefault="008D7C66" w:rsidP="008D7C66">
      <w:pPr>
        <w:pStyle w:val="cuerpotexto"/>
        <w:spacing w:before="28" w:after="28"/>
        <w:jc w:val="center"/>
        <w:rPr>
          <w:rStyle w:val="Textoennegrita"/>
          <w:rFonts w:eastAsia="Arial Unicode MS"/>
        </w:rPr>
      </w:pPr>
    </w:p>
    <w:p w:rsidR="008D7C66" w:rsidRDefault="008D7C66" w:rsidP="008D7C66">
      <w:pPr>
        <w:pStyle w:val="cuerpotexto"/>
        <w:spacing w:before="28" w:after="28"/>
        <w:jc w:val="center"/>
        <w:rPr>
          <w:rStyle w:val="Textoennegrita"/>
          <w:rFonts w:eastAsia="Arial Unicode MS"/>
        </w:rPr>
      </w:pPr>
    </w:p>
    <w:p w:rsidR="008D7C66" w:rsidRPr="008D7C66" w:rsidRDefault="008D7C66" w:rsidP="008D7C66">
      <w:pPr>
        <w:pStyle w:val="cuerpotexto"/>
        <w:spacing w:before="28" w:after="28"/>
        <w:jc w:val="center"/>
      </w:pPr>
      <w:r w:rsidRPr="008D7C66">
        <w:rPr>
          <w:rStyle w:val="Textoennegrita"/>
          <w:rFonts w:eastAsia="Arial Unicode MS"/>
        </w:rPr>
        <w:t>CONCEPTO Nº 036386</w:t>
      </w:r>
    </w:p>
    <w:p w:rsidR="008D7C66" w:rsidRPr="008D7C66" w:rsidRDefault="008D7C66" w:rsidP="008D7C66">
      <w:pPr>
        <w:pStyle w:val="cuerpotexto"/>
        <w:spacing w:before="28" w:after="28"/>
        <w:jc w:val="center"/>
      </w:pPr>
      <w:r w:rsidRPr="008D7C66">
        <w:rPr>
          <w:rStyle w:val="Textoennegrita"/>
          <w:rFonts w:eastAsia="Arial Unicode MS"/>
        </w:rPr>
        <w:t>15-06-2005</w:t>
      </w:r>
    </w:p>
    <w:p w:rsidR="008D7C66" w:rsidRPr="008D7C66" w:rsidRDefault="008D7C66" w:rsidP="008D7C66">
      <w:pPr>
        <w:pStyle w:val="cuerpotexto"/>
        <w:spacing w:before="28" w:after="28"/>
        <w:jc w:val="center"/>
      </w:pPr>
      <w:r w:rsidRPr="008D7C66">
        <w:rPr>
          <w:rStyle w:val="Textoennegrita"/>
          <w:rFonts w:eastAsia="Arial Unicode MS"/>
        </w:rPr>
        <w:t>DIAN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Doctora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CAROLINA RENTERIA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Directora General de Presupuesto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Ministerio de Hacienda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 xml:space="preserve">Carrera  8 número 6-64 Piso 3° 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Bogotá, D. C.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Referencia: Consulta radicada bajo el número  22868 de 08/04/2005.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De conformidad con el artículo 11 del Decreto 1265 de 1999 y el artículo 1° de la Resolución 5467 del 15 de junio de 2001,  este despacho es competente para absolver de manera general las consultas que se formulen sobre la interpretación y aplicación de las normas tributarias de carácter nacional. En este sentido se emite el presente concepto.</w:t>
      </w:r>
    </w:p>
    <w:p w:rsidR="008D7C66" w:rsidRPr="008D7C66" w:rsidRDefault="008D7C66" w:rsidP="008D7C66">
      <w:pPr>
        <w:pStyle w:val="cuerpotexto"/>
        <w:tabs>
          <w:tab w:val="left" w:pos="1698"/>
        </w:tabs>
        <w:spacing w:before="28" w:after="28" w:line="214" w:lineRule="atLeast"/>
        <w:ind w:left="1698" w:hanging="1415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tabs>
          <w:tab w:val="left" w:pos="1698"/>
        </w:tabs>
        <w:spacing w:before="28" w:after="28" w:line="214" w:lineRule="atLeast"/>
        <w:ind w:left="1698" w:hanging="1415"/>
        <w:jc w:val="both"/>
      </w:pPr>
      <w:r w:rsidRPr="008D7C66">
        <w:t>Tema:</w:t>
      </w:r>
      <w:r w:rsidRPr="008D7C66">
        <w:tab/>
        <w:t>Impuesto sobre la Renta y Complementarios.</w:t>
      </w:r>
    </w:p>
    <w:p w:rsidR="008D7C66" w:rsidRPr="008D7C66" w:rsidRDefault="008D7C66" w:rsidP="008D7C66">
      <w:pPr>
        <w:pStyle w:val="cuerpotexto"/>
        <w:tabs>
          <w:tab w:val="left" w:pos="1698"/>
        </w:tabs>
        <w:spacing w:before="28" w:after="28" w:line="214" w:lineRule="atLeast"/>
        <w:ind w:left="1698" w:hanging="1415"/>
        <w:jc w:val="both"/>
      </w:pPr>
      <w:r w:rsidRPr="008D7C66">
        <w:t>Descriptores:</w:t>
      </w:r>
      <w:r w:rsidRPr="008D7C66">
        <w:tab/>
        <w:t>Renta Exenta.</w:t>
      </w:r>
    </w:p>
    <w:p w:rsidR="008D7C66" w:rsidRPr="008D7C66" w:rsidRDefault="008D7C66" w:rsidP="008D7C66">
      <w:pPr>
        <w:pStyle w:val="cuerpotexto"/>
        <w:tabs>
          <w:tab w:val="left" w:pos="1698"/>
        </w:tabs>
        <w:spacing w:before="28" w:after="28" w:line="214" w:lineRule="atLeast"/>
        <w:ind w:left="1698" w:hanging="1415"/>
        <w:jc w:val="both"/>
      </w:pPr>
      <w:r w:rsidRPr="008D7C66">
        <w:t>Fuentes formales:</w:t>
      </w:r>
      <w:r w:rsidRPr="008D7C66">
        <w:tab/>
      </w:r>
      <w:hyperlink r:id="rId4" w:tooltip="Estatuto Tributario CETA" w:history="1">
        <w:r w:rsidRPr="008D7C66">
          <w:rPr>
            <w:rStyle w:val="Hipervnculo"/>
            <w:color w:val="auto"/>
          </w:rPr>
          <w:t>Artículo 207-2</w:t>
        </w:r>
      </w:hyperlink>
      <w:r w:rsidRPr="008D7C66">
        <w:t xml:space="preserve"> Estatuto Tributario.</w:t>
      </w:r>
    </w:p>
    <w:p w:rsidR="008D7C66" w:rsidRPr="008D7C66" w:rsidRDefault="008D7C66" w:rsidP="008D7C66">
      <w:pPr>
        <w:pStyle w:val="cuerpotexto"/>
        <w:tabs>
          <w:tab w:val="left" w:pos="1698"/>
        </w:tabs>
        <w:spacing w:before="28" w:after="28" w:line="214" w:lineRule="atLeast"/>
        <w:ind w:left="1698" w:hanging="1415"/>
        <w:jc w:val="both"/>
      </w:pPr>
      <w:r w:rsidRPr="008D7C66">
        <w:tab/>
        <w:t>Decreto 2755 de 2003, artículo 9°.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Problema jurídico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 xml:space="preserve">La exención del impuesto sobre la renta y complementarios contenida en el </w:t>
      </w:r>
      <w:hyperlink r:id="rId5" w:tooltip="Estatuto Tributario CETA" w:history="1">
        <w:r w:rsidRPr="008D7C66">
          <w:rPr>
            <w:rStyle w:val="Hipervnculo"/>
            <w:color w:val="auto"/>
          </w:rPr>
          <w:t>artículo 207-2</w:t>
        </w:r>
      </w:hyperlink>
      <w:r w:rsidRPr="008D7C66">
        <w:t xml:space="preserve"> del Estatuto Tributario relativa a los servicios hoteleros se extiende a los servicios accesorios y complementarios como los de bar, discoteca, banquetes, salones de convenciones o eventos y centros de negocios, ¿entre otros?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Tesis jurídica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 xml:space="preserve">La exención del impuesto sobre la renta y complementarios contenida en los numerales 3 y 4 del </w:t>
      </w:r>
      <w:hyperlink r:id="rId6" w:tooltip="Estatuto Tributario CETA" w:history="1">
        <w:r w:rsidRPr="008D7C66">
          <w:rPr>
            <w:rStyle w:val="Hipervnculo"/>
            <w:color w:val="auto"/>
          </w:rPr>
          <w:t>artículo 207-2</w:t>
        </w:r>
      </w:hyperlink>
      <w:r w:rsidRPr="008D7C66">
        <w:t xml:space="preserve"> del Estatuto Tributario relativa a los servicios hoteleros se extiende a los s </w:t>
      </w:r>
      <w:proofErr w:type="spellStart"/>
      <w:r w:rsidRPr="008D7C66">
        <w:t>ervicios</w:t>
      </w:r>
      <w:proofErr w:type="spellEnd"/>
      <w:r w:rsidRPr="008D7C66">
        <w:t xml:space="preserve"> accesorios y complementarios como los de bar, discoteca, banquetes, salones de convenciones o eventos y centros de negocios; entre otros, siempre y cuando estén vinculados al servicio básico de alojamiento.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Interpretación jurídica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 xml:space="preserve">El </w:t>
      </w:r>
      <w:hyperlink r:id="rId7" w:tooltip="Estatuto Tributario CETA" w:history="1">
        <w:r w:rsidRPr="008D7C66">
          <w:rPr>
            <w:rStyle w:val="Hipervnculo"/>
            <w:color w:val="auto"/>
          </w:rPr>
          <w:t>artículo 207-2</w:t>
        </w:r>
      </w:hyperlink>
      <w:r w:rsidRPr="008D7C66">
        <w:t xml:space="preserve"> del Estatuto Tributario consagra en sus numerales 3 y 4 la exención del impuesto sobre la renta y complementarios por treinta años para los servicios hoteleros, referida a los ingresos que perciban los nuevos hoteles construidos dentro de los quince años siguientes a partir de la vigencia de la Ley 788 de 2002. Cuando se trate de hoteles remodelados o ampliados en el mismo término, se prevé la exención por el </w:t>
      </w:r>
      <w:r w:rsidRPr="008D7C66">
        <w:lastRenderedPageBreak/>
        <w:t>mismo periodo señalado, limitada a la porción que represente el valor de la remodelación y/o ampliación en el costo fiscal del inmueble remodelado o ampliado.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El Ministerio de Comercio, Industria y Turismo mediante la Resolución 0657 de abril 8 de 2005 por medio de la cual reglamenta la categorización por estrellas de los establecimientos hoteleros o de hospedaje define en su artículo 1° a los hoteles, así: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6" w:lineRule="atLeast"/>
        <w:jc w:val="both"/>
      </w:pPr>
      <w:r w:rsidRPr="008D7C66">
        <w:rPr>
          <w:i/>
          <w:iCs/>
        </w:rPr>
        <w:t>"...Hotel. Establecimiento en que se</w:t>
      </w:r>
      <w:r w:rsidRPr="008D7C66">
        <w:rPr>
          <w:i/>
          <w:iCs/>
          <w:u w:val="single"/>
        </w:rPr>
        <w:t xml:space="preserve"> presta el servicio de alojamiento en habitaciones y</w:t>
      </w:r>
      <w:r w:rsidRPr="008D7C66">
        <w:rPr>
          <w:i/>
          <w:iCs/>
        </w:rPr>
        <w:t xml:space="preserve"> otro tipo de unidades habitacionales en menor cantidad, privadas, en un edificio o parte independiente del mismo constituyendo sus dependencias un todo homogéneo y con entrada de uso exclusivo.</w:t>
      </w:r>
      <w:r w:rsidRPr="008D7C66">
        <w:rPr>
          <w:i/>
          <w:iCs/>
          <w:u w:val="single"/>
        </w:rPr>
        <w:t xml:space="preserve"> Dispone además como mínimo del servicio de recepción, servicio de desayuno y salón de estar para la permanencia de los huéspedes, sin perjuicio de otros servicios complementarios".</w:t>
      </w:r>
    </w:p>
    <w:p w:rsidR="008D7C66" w:rsidRPr="008D7C66" w:rsidRDefault="008D7C66" w:rsidP="008D7C66">
      <w:pPr>
        <w:pStyle w:val="cuerpotexto"/>
        <w:spacing w:before="28" w:after="28" w:line="216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 xml:space="preserve">El Decreto 2755 de 2003 "por medio del cual se reglamenta el </w:t>
      </w:r>
      <w:hyperlink r:id="rId8" w:tooltip="Estatuto Tributario CETA" w:history="1">
        <w:r w:rsidRPr="008D7C66">
          <w:rPr>
            <w:rStyle w:val="Hipervnculo"/>
            <w:color w:val="auto"/>
          </w:rPr>
          <w:t>artículo 207-2</w:t>
        </w:r>
      </w:hyperlink>
      <w:r w:rsidRPr="008D7C66">
        <w:t xml:space="preserve"> del Estatuto Tributario"  define en su artículo 9°  los servicios hoteleros, así: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rPr>
          <w:i/>
          <w:iCs/>
        </w:rPr>
        <w:t>Artículo 9°. Servicios hoteleros. Para efectos de la exención a que se refieren los artículos 4° y 6° del presente decreto, s</w:t>
      </w:r>
      <w:r w:rsidRPr="008D7C66">
        <w:rPr>
          <w:i/>
          <w:iCs/>
          <w:u w:val="single"/>
        </w:rPr>
        <w:t>e entiende por servicios hoteleros, el alojamiento, la alimentación y todos los demás servicios básicos y/o complementarios o accesorios prestados por el establecimiento hotelero o por el operador del mismo.</w:t>
      </w:r>
    </w:p>
    <w:p w:rsidR="008D7C66" w:rsidRPr="008D7C66" w:rsidRDefault="008D7C66" w:rsidP="008D7C66">
      <w:pPr>
        <w:pStyle w:val="cuerpotexto"/>
        <w:spacing w:before="28" w:after="28" w:line="214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6" w:lineRule="atLeast"/>
        <w:jc w:val="both"/>
      </w:pPr>
      <w:r w:rsidRPr="008D7C66">
        <w:t>La Ley General del Turismo Ley 300 de 1996 define en su artículo 79 al contrato de hospedaje así:</w:t>
      </w:r>
    </w:p>
    <w:p w:rsidR="008D7C66" w:rsidRPr="008D7C66" w:rsidRDefault="008D7C66" w:rsidP="008D7C66">
      <w:pPr>
        <w:pStyle w:val="cuerpotexto"/>
        <w:spacing w:before="28" w:after="28" w:line="216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 w:line="216" w:lineRule="atLeast"/>
        <w:jc w:val="both"/>
      </w:pPr>
      <w:r w:rsidRPr="008D7C66">
        <w:rPr>
          <w:i/>
          <w:iCs/>
        </w:rPr>
        <w:t>"Artículo 79. Del contrato de hospedaje. El contrato de hospedaje es un contrato de arrendamiento, de carácter comercial y de adhesión, que una empresa dedicada a esta actividad celebra con el propósito principal de prestar alojamiento a otra persona denominada huésped, mediante el pago del precio respectivo día a día, por un plazo inferior a 30 días".</w:t>
      </w:r>
    </w:p>
    <w:p w:rsidR="008D7C66" w:rsidRPr="008D7C66" w:rsidRDefault="008D7C66" w:rsidP="008D7C66">
      <w:pPr>
        <w:pStyle w:val="cuerpotexto"/>
        <w:spacing w:before="28" w:after="28" w:line="216" w:lineRule="atLeast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 xml:space="preserve">Con base en estos elementos jurídicos es claro que el servicio hotelero incluye como servicio básico al hospedaje y es sobre el mismo que se predica lo accesorio y complementario. De este modo todos los servicios vinculados al servicio básico de hospedaje tanto accesorios como complementarios tales como los de bar, discotecas, banquetes, convenciones o eventos, entre otros, gozan de la exención prevista en los numerales 3 y 4 del </w:t>
      </w:r>
      <w:hyperlink r:id="rId9" w:tooltip="Estatuto Tributario CETA" w:history="1">
        <w:r w:rsidRPr="008D7C66">
          <w:rPr>
            <w:rStyle w:val="Hipervnculo"/>
            <w:color w:val="auto"/>
          </w:rPr>
          <w:t>artículo 207-2</w:t>
        </w:r>
      </w:hyperlink>
      <w:r w:rsidRPr="008D7C66">
        <w:t xml:space="preserve"> del Estatuto Tributario y en el Decreto 2755 de 2003.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En mérito de lo expuesto se aclara el Concepto número 075190 del 4 de noviembre de 2004.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Atentamente,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 </w:t>
      </w:r>
    </w:p>
    <w:p w:rsidR="008D7C66" w:rsidRPr="008D7C66" w:rsidRDefault="008D7C66" w:rsidP="008D7C66">
      <w:pPr>
        <w:pStyle w:val="cuerpotexto"/>
        <w:spacing w:before="28" w:after="28"/>
        <w:jc w:val="both"/>
      </w:pPr>
      <w:r w:rsidRPr="008D7C66">
        <w:t>El Jefe Oficina Jurídica,</w:t>
      </w:r>
    </w:p>
    <w:p w:rsidR="008D7C66" w:rsidRPr="008D7C66" w:rsidRDefault="008D7C66" w:rsidP="008D7C66">
      <w:pPr>
        <w:pStyle w:val="firmas"/>
        <w:spacing w:before="28" w:after="28"/>
        <w:jc w:val="both"/>
      </w:pPr>
      <w:r w:rsidRPr="008D7C66">
        <w:rPr>
          <w:rStyle w:val="nfasis"/>
        </w:rPr>
        <w:t>Camilo Andrés Rodríguez Vargas.</w:t>
      </w:r>
    </w:p>
    <w:p w:rsidR="008D7C66" w:rsidRPr="008D7C66" w:rsidRDefault="008D7C66" w:rsidP="008D7C66">
      <w:pPr>
        <w:pStyle w:val="firmas"/>
        <w:spacing w:before="28" w:after="28"/>
        <w:jc w:val="both"/>
      </w:pPr>
      <w:r w:rsidRPr="008D7C66">
        <w:t> </w:t>
      </w:r>
    </w:p>
    <w:sectPr w:rsidR="008D7C66" w:rsidRPr="008D7C66" w:rsidSect="00555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7C66"/>
    <w:rsid w:val="005559AB"/>
    <w:rsid w:val="008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7C66"/>
    <w:rPr>
      <w:strike w:val="0"/>
      <w:dstrike w:val="0"/>
      <w:color w:val="0089E1"/>
      <w:u w:val="none"/>
      <w:effect w:val="none"/>
    </w:rPr>
  </w:style>
  <w:style w:type="paragraph" w:customStyle="1" w:styleId="cuerpotexto">
    <w:name w:val="cuerpotexto"/>
    <w:basedOn w:val="Normal"/>
    <w:rsid w:val="008D7C66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7C66"/>
    <w:rPr>
      <w:b/>
      <w:bCs/>
    </w:rPr>
  </w:style>
  <w:style w:type="paragraph" w:customStyle="1" w:styleId="firmas">
    <w:name w:val="firmas"/>
    <w:basedOn w:val="Normal"/>
    <w:rsid w:val="008D7C66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D7C66"/>
    <w:rPr>
      <w:i/>
      <w:iCs/>
    </w:rPr>
  </w:style>
  <w:style w:type="paragraph" w:customStyle="1" w:styleId="ccobro">
    <w:name w:val="ccobro"/>
    <w:basedOn w:val="Normal"/>
    <w:rsid w:val="008D7C66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10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108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108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ta.org.co/html/vista_de_un_articulo.asp?Norma=108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eta.org.co/html/vista_de_un_articulo.asp?Norma=10876" TargetMode="External"/><Relationship Id="rId9" Type="http://schemas.openxmlformats.org/officeDocument/2006/relationships/hyperlink" Target="http://www.ceta.org.co/html/vista_de_un_articulo.asp?Norma=108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4351</Characters>
  <Application>Microsoft Office Word</Application>
  <DocSecurity>0</DocSecurity>
  <Lines>36</Lines>
  <Paragraphs>10</Paragraphs>
  <ScaleCrop>false</ScaleCrop>
  <Company>PERSONAL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</dc:creator>
  <cp:keywords/>
  <dc:description/>
  <cp:lastModifiedBy>GUILLERMO ALZATE</cp:lastModifiedBy>
  <cp:revision>1</cp:revision>
  <dcterms:created xsi:type="dcterms:W3CDTF">2012-10-01T14:35:00Z</dcterms:created>
  <dcterms:modified xsi:type="dcterms:W3CDTF">2012-10-01T14:37:00Z</dcterms:modified>
</cp:coreProperties>
</file>